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FB6" w:rsidRPr="000304B9" w:rsidRDefault="00AB5FB6" w:rsidP="000304B9">
      <w:pPr>
        <w:spacing w:after="200" w:line="480" w:lineRule="auto"/>
        <w:jc w:val="center"/>
        <w:rPr>
          <w:rFonts w:ascii="Times New Roman" w:eastAsia="Calibri" w:hAnsi="Times New Roman" w:cs="Times New Roman"/>
          <w:sz w:val="24"/>
          <w:szCs w:val="24"/>
        </w:rPr>
      </w:pPr>
      <w:bookmarkStart w:id="0" w:name="_GoBack"/>
      <w:bookmarkEnd w:id="0"/>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tabs>
          <w:tab w:val="left" w:pos="7695"/>
        </w:tabs>
        <w:spacing w:after="200" w:line="480" w:lineRule="auto"/>
        <w:rPr>
          <w:rFonts w:ascii="Times New Roman" w:eastAsia="Calibri" w:hAnsi="Times New Roman" w:cs="Times New Roman"/>
          <w:sz w:val="24"/>
          <w:szCs w:val="24"/>
        </w:rPr>
      </w:pPr>
      <w:r w:rsidRPr="000304B9">
        <w:rPr>
          <w:rFonts w:ascii="Times New Roman" w:eastAsia="Calibri" w:hAnsi="Times New Roman" w:cs="Times New Roman"/>
          <w:sz w:val="24"/>
          <w:szCs w:val="24"/>
        </w:rPr>
        <w:tab/>
      </w: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before="240" w:after="200" w:line="480" w:lineRule="auto"/>
        <w:jc w:val="center"/>
        <w:rPr>
          <w:rFonts w:ascii="Times New Roman" w:eastAsia="Calibri" w:hAnsi="Times New Roman" w:cs="Times New Roman"/>
          <w:sz w:val="24"/>
          <w:szCs w:val="24"/>
        </w:rPr>
      </w:pPr>
      <w:r w:rsidRPr="000304B9">
        <w:rPr>
          <w:rFonts w:ascii="Times New Roman" w:eastAsia="Calibri" w:hAnsi="Times New Roman" w:cs="Times New Roman"/>
          <w:sz w:val="24"/>
          <w:szCs w:val="24"/>
        </w:rPr>
        <w:t>Work Experience</w:t>
      </w:r>
    </w:p>
    <w:p w:rsidR="00AB5FB6" w:rsidRPr="000304B9" w:rsidRDefault="00AB5FB6" w:rsidP="000304B9">
      <w:pPr>
        <w:spacing w:before="240" w:after="200" w:line="480" w:lineRule="auto"/>
        <w:jc w:val="center"/>
        <w:rPr>
          <w:rFonts w:ascii="Times New Roman" w:eastAsia="Calibri" w:hAnsi="Times New Roman" w:cs="Times New Roman"/>
          <w:sz w:val="24"/>
          <w:szCs w:val="24"/>
        </w:rPr>
      </w:pPr>
      <w:r w:rsidRPr="000304B9">
        <w:rPr>
          <w:rFonts w:ascii="Times New Roman" w:eastAsia="Calibri" w:hAnsi="Times New Roman" w:cs="Times New Roman"/>
          <w:sz w:val="24"/>
          <w:szCs w:val="24"/>
        </w:rPr>
        <w:t>Student’s Name</w:t>
      </w:r>
    </w:p>
    <w:p w:rsidR="00AB5FB6" w:rsidRPr="000304B9" w:rsidRDefault="00AB5FB6" w:rsidP="000304B9">
      <w:pPr>
        <w:spacing w:before="240" w:after="200" w:line="480" w:lineRule="auto"/>
        <w:jc w:val="center"/>
        <w:rPr>
          <w:rFonts w:ascii="Times New Roman" w:eastAsia="Calibri" w:hAnsi="Times New Roman" w:cs="Times New Roman"/>
          <w:sz w:val="24"/>
          <w:szCs w:val="24"/>
        </w:rPr>
      </w:pPr>
      <w:r w:rsidRPr="000304B9">
        <w:rPr>
          <w:rFonts w:ascii="Times New Roman" w:eastAsia="Calibri" w:hAnsi="Times New Roman" w:cs="Times New Roman"/>
          <w:sz w:val="24"/>
          <w:szCs w:val="24"/>
        </w:rPr>
        <w:t xml:space="preserve">Institutional Affiliation </w:t>
      </w: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after="200" w:line="480" w:lineRule="auto"/>
        <w:jc w:val="center"/>
        <w:rPr>
          <w:rFonts w:ascii="Times New Roman" w:eastAsia="Calibri" w:hAnsi="Times New Roman" w:cs="Times New Roman"/>
          <w:sz w:val="24"/>
          <w:szCs w:val="24"/>
        </w:rPr>
      </w:pPr>
    </w:p>
    <w:p w:rsidR="00AB5FB6" w:rsidRPr="000304B9" w:rsidRDefault="00AB5FB6" w:rsidP="000304B9">
      <w:pPr>
        <w:spacing w:line="480" w:lineRule="auto"/>
        <w:rPr>
          <w:rFonts w:ascii="Times New Roman" w:hAnsi="Times New Roman" w:cs="Times New Roman"/>
          <w:b/>
          <w:sz w:val="24"/>
          <w:szCs w:val="24"/>
        </w:rPr>
      </w:pPr>
      <w:r w:rsidRPr="000304B9">
        <w:rPr>
          <w:rFonts w:ascii="Times New Roman" w:hAnsi="Times New Roman" w:cs="Times New Roman"/>
          <w:b/>
          <w:sz w:val="24"/>
          <w:szCs w:val="24"/>
        </w:rPr>
        <w:br w:type="page"/>
      </w:r>
    </w:p>
    <w:p w:rsidR="00AB5FB6" w:rsidRPr="000304B9" w:rsidRDefault="00AB5FB6" w:rsidP="000304B9">
      <w:pPr>
        <w:spacing w:line="480" w:lineRule="auto"/>
        <w:jc w:val="center"/>
        <w:rPr>
          <w:rFonts w:ascii="Times New Roman" w:hAnsi="Times New Roman" w:cs="Times New Roman"/>
          <w:sz w:val="24"/>
          <w:szCs w:val="24"/>
        </w:rPr>
      </w:pPr>
      <w:r w:rsidRPr="000304B9">
        <w:rPr>
          <w:rFonts w:ascii="Times New Roman" w:hAnsi="Times New Roman" w:cs="Times New Roman"/>
          <w:sz w:val="24"/>
          <w:szCs w:val="24"/>
        </w:rPr>
        <w:lastRenderedPageBreak/>
        <w:t>Work Experience</w:t>
      </w:r>
    </w:p>
    <w:p w:rsidR="005A0C65" w:rsidRPr="000304B9" w:rsidRDefault="005A0C65"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If an Adult Works at Least 2 Years Full Time Post Undergrad before Pursuing Graduate School then they are more likely to Gain more Valuable Knowledge in Graduate School</w:t>
      </w:r>
    </w:p>
    <w:p w:rsidR="005A0C65" w:rsidRPr="000304B9" w:rsidRDefault="005A0C65"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Question 1: Thesis</w:t>
      </w:r>
    </w:p>
    <w:p w:rsidR="005A0C65" w:rsidRPr="000304B9" w:rsidRDefault="005A0C65"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Graduate interns who have prior full-time work and life experience before pursuing their master’s degrees of at least two years become more valuable, impactful in their future as well as productive.</w:t>
      </w:r>
    </w:p>
    <w:p w:rsidR="005A0C65" w:rsidRPr="000304B9" w:rsidRDefault="005A0C65"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Question 2:</w:t>
      </w:r>
      <w:r w:rsidR="003A7CB3" w:rsidRPr="000304B9">
        <w:rPr>
          <w:rFonts w:ascii="Times New Roman" w:hAnsi="Times New Roman" w:cs="Times New Roman"/>
          <w:b/>
          <w:sz w:val="24"/>
          <w:szCs w:val="24"/>
        </w:rPr>
        <w:t xml:space="preserve"> Best Practices to address Lack of Prior Experience</w:t>
      </w:r>
    </w:p>
    <w:p w:rsidR="003A7CB3" w:rsidRPr="000304B9" w:rsidRDefault="00F32B12"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 xml:space="preserve">Many people who have had the chance to pursue graduate school know the importance of having work experience before joining it. Paid work experience has even an added advantage compared to the rest of the students who might not take advantage of the opportunity. Numerous people can admit that graduate interns who have prior full-time work and life experience before pursuing their master’s degrees of at least two years become more valuable, impactful in their future as well as productive. </w:t>
      </w:r>
    </w:p>
    <w:p w:rsidR="005A0C65" w:rsidRPr="000304B9" w:rsidRDefault="005A0C65"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Question 3:</w:t>
      </w:r>
      <w:r w:rsidR="003A7CB3" w:rsidRPr="000304B9">
        <w:rPr>
          <w:rFonts w:ascii="Times New Roman" w:hAnsi="Times New Roman" w:cs="Times New Roman"/>
          <w:b/>
          <w:sz w:val="24"/>
          <w:szCs w:val="24"/>
        </w:rPr>
        <w:t xml:space="preserve"> Necessary Trend to be used</w:t>
      </w:r>
    </w:p>
    <w:p w:rsidR="003A7CB3" w:rsidRPr="000304B9" w:rsidRDefault="003A7CB3"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Relevant work experience is critical in determining the emphasis put when the hiring panel makes their decisions</w:t>
      </w:r>
      <w:r w:rsidR="000B7D95" w:rsidRPr="000304B9">
        <w:rPr>
          <w:rFonts w:ascii="Times New Roman" w:hAnsi="Times New Roman" w:cs="Times New Roman"/>
          <w:sz w:val="24"/>
          <w:szCs w:val="24"/>
        </w:rPr>
        <w:t xml:space="preserve"> (Chiang &amp; Suen, 2015)</w:t>
      </w:r>
      <w:r w:rsidRPr="000304B9">
        <w:rPr>
          <w:rFonts w:ascii="Times New Roman" w:hAnsi="Times New Roman" w:cs="Times New Roman"/>
          <w:sz w:val="24"/>
          <w:szCs w:val="24"/>
        </w:rPr>
        <w:t>. When people apply for jobs, potential employers are always looking for demonstrated skills besides n</w:t>
      </w:r>
      <w:r w:rsidR="000B7D95" w:rsidRPr="000304B9">
        <w:rPr>
          <w:rFonts w:ascii="Times New Roman" w:hAnsi="Times New Roman" w:cs="Times New Roman"/>
          <w:sz w:val="24"/>
          <w:szCs w:val="24"/>
        </w:rPr>
        <w:t xml:space="preserve">ormal academic qualifications. According to Ali, (2018), </w:t>
      </w:r>
      <w:r w:rsidRPr="000304B9">
        <w:rPr>
          <w:rFonts w:ascii="Times New Roman" w:hAnsi="Times New Roman" w:cs="Times New Roman"/>
          <w:sz w:val="24"/>
          <w:szCs w:val="24"/>
        </w:rPr>
        <w:t xml:space="preserve">candidates who have a history of previous work experience have a better chance of qualifying for the jobs compared to those who may not be having it. A minimum of two years’ experience for post-undergrad is recommended and preferably about three to five </w:t>
      </w:r>
      <w:r w:rsidRPr="000304B9">
        <w:rPr>
          <w:rFonts w:ascii="Times New Roman" w:hAnsi="Times New Roman" w:cs="Times New Roman"/>
          <w:sz w:val="24"/>
          <w:szCs w:val="24"/>
        </w:rPr>
        <w:lastRenderedPageBreak/>
        <w:t>years of paid experience in a relevant field. Many professions consider this full-time work experience before pursuing graduate school vital for improving student knowledge about real life skills and as a practical environment to what is taught in class.</w:t>
      </w:r>
    </w:p>
    <w:p w:rsidR="005A0C65" w:rsidRPr="000304B9" w:rsidRDefault="005A0C65"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Question 4:</w:t>
      </w:r>
      <w:r w:rsidR="003A7CB3" w:rsidRPr="000304B9">
        <w:rPr>
          <w:rFonts w:ascii="Times New Roman" w:hAnsi="Times New Roman" w:cs="Times New Roman"/>
          <w:b/>
          <w:sz w:val="24"/>
          <w:szCs w:val="24"/>
        </w:rPr>
        <w:t xml:space="preserve"> Literature Review</w:t>
      </w:r>
    </w:p>
    <w:p w:rsidR="003A7CB3" w:rsidRPr="000304B9" w:rsidRDefault="003A7CB3"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 xml:space="preserve">Once the students get exposure in the field, they get more clear and specific about what is needed in graduate school. The knowledge gained in the full-time work experience helps the students in choosing the appropriate degree programs and the schools that best fit them. Many students who join the graduate school immediately after they are done with their undergrad end up making wrong choices in courses which is why there are many cases of them regretting their decisions later. </w:t>
      </w:r>
      <w:r w:rsidR="001436D9" w:rsidRPr="000304B9">
        <w:rPr>
          <w:rFonts w:ascii="Times New Roman" w:hAnsi="Times New Roman" w:cs="Times New Roman"/>
          <w:sz w:val="24"/>
          <w:szCs w:val="24"/>
        </w:rPr>
        <w:t>According to Noe et al., (2017), t</w:t>
      </w:r>
      <w:r w:rsidRPr="000304B9">
        <w:rPr>
          <w:rFonts w:ascii="Times New Roman" w:hAnsi="Times New Roman" w:cs="Times New Roman"/>
          <w:sz w:val="24"/>
          <w:szCs w:val="24"/>
        </w:rPr>
        <w:t>here are many cases of students not even being productive in graduate classes when they miss this critical step. Having more significant experience than other competitors while applying for most robust programs in graduate school makes the applicant competitive. Bachelor’s work experience is vital also in helping the applicant choose between professions that are closely related</w:t>
      </w:r>
      <w:r w:rsidR="001436D9" w:rsidRPr="000304B9">
        <w:rPr>
          <w:rFonts w:ascii="Times New Roman" w:hAnsi="Times New Roman" w:cs="Times New Roman"/>
          <w:sz w:val="24"/>
          <w:szCs w:val="24"/>
        </w:rPr>
        <w:t xml:space="preserve"> (Cassar, 2014)</w:t>
      </w:r>
      <w:r w:rsidRPr="000304B9">
        <w:rPr>
          <w:rFonts w:ascii="Times New Roman" w:hAnsi="Times New Roman" w:cs="Times New Roman"/>
          <w:sz w:val="24"/>
          <w:szCs w:val="24"/>
        </w:rPr>
        <w:t xml:space="preserve">. The choice of school and profession that fits best has a high impact on someone’s education, future, career networks and opportunities as well as investment returns. Graduate programs are costly, and hence it is essential to make the right career path choices in the graduate school programs. </w:t>
      </w:r>
    </w:p>
    <w:p w:rsidR="003A7CB3" w:rsidRPr="000304B9" w:rsidRDefault="003A7CB3"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Another importance of Bachelor’s degree is that you get to have more feedback to contribute to the classes in the graduate programs, and you also have a better chance of gaining more from the sessions (Coates &amp; McCormick, 2014). In recent times, most graduate programs incorporate case studies, teamwork discussions, real global ventures and practical learning that rely heavily on experience and skills obtained in the Bachelor’s work and life experience.</w:t>
      </w:r>
    </w:p>
    <w:p w:rsidR="005A0C65" w:rsidRPr="000304B9" w:rsidRDefault="003A7CB3"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lastRenderedPageBreak/>
        <w:t>Question 5: Trend Justification</w:t>
      </w:r>
    </w:p>
    <w:p w:rsidR="001436D9" w:rsidRPr="000304B9" w:rsidRDefault="001436D9" w:rsidP="000304B9">
      <w:pPr>
        <w:spacing w:line="480" w:lineRule="auto"/>
        <w:rPr>
          <w:rFonts w:ascii="Times New Roman" w:hAnsi="Times New Roman" w:cs="Times New Roman"/>
          <w:sz w:val="24"/>
          <w:szCs w:val="24"/>
        </w:rPr>
      </w:pPr>
      <w:r w:rsidRPr="000304B9">
        <w:rPr>
          <w:rFonts w:ascii="Times New Roman" w:hAnsi="Times New Roman" w:cs="Times New Roman"/>
          <w:sz w:val="24"/>
          <w:szCs w:val="24"/>
        </w:rPr>
        <w:t>Below is a graphical representation showing a comparison of confidence versus experience.</w:t>
      </w:r>
    </w:p>
    <w:p w:rsidR="003A7CB3" w:rsidRPr="000304B9" w:rsidRDefault="003A7CB3" w:rsidP="000304B9">
      <w:pPr>
        <w:spacing w:line="480" w:lineRule="auto"/>
        <w:rPr>
          <w:rFonts w:ascii="Times New Roman" w:hAnsi="Times New Roman" w:cs="Times New Roman"/>
          <w:sz w:val="24"/>
          <w:szCs w:val="24"/>
        </w:rPr>
      </w:pPr>
      <w:r w:rsidRPr="000304B9">
        <w:rPr>
          <w:rFonts w:ascii="Times New Roman" w:hAnsi="Times New Roman" w:cs="Times New Roman"/>
          <w:noProof/>
          <w:sz w:val="24"/>
          <w:szCs w:val="24"/>
        </w:rPr>
        <w:drawing>
          <wp:inline distT="0" distB="0" distL="0" distR="0" wp14:anchorId="4A8A18F9" wp14:editId="2EECF39B">
            <wp:extent cx="5943600" cy="4977765"/>
            <wp:effectExtent l="0" t="0" r="0" b="0"/>
            <wp:docPr id="1" name="Picture 1" descr="C:\Users\User\Desktop\New folder\jbo2g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jbo2gy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977765"/>
                    </a:xfrm>
                    <a:prstGeom prst="rect">
                      <a:avLst/>
                    </a:prstGeom>
                    <a:noFill/>
                    <a:ln>
                      <a:noFill/>
                    </a:ln>
                  </pic:spPr>
                </pic:pic>
              </a:graphicData>
            </a:graphic>
          </wp:inline>
        </w:drawing>
      </w:r>
    </w:p>
    <w:p w:rsidR="003A7CB3" w:rsidRPr="000304B9" w:rsidRDefault="003A7CB3"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Dunning–Kruger Effect</w:t>
      </w:r>
    </w:p>
    <w:p w:rsidR="003A7CB3" w:rsidRPr="000304B9" w:rsidRDefault="003A7CB3"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People lack the relevant experience in a particular field, and they tend to have an illusion superiority and tend to rate themselves with higher ability than they have (Pennycook et al., 2017). This cognitive bias is known as the Dunning- Kruger effect and can be experienced even by students who fail to acquire prior experience for their graduate school</w:t>
      </w:r>
      <w:r w:rsidR="000B7D95" w:rsidRPr="000304B9">
        <w:rPr>
          <w:rFonts w:ascii="Times New Roman" w:hAnsi="Times New Roman" w:cs="Times New Roman"/>
          <w:sz w:val="24"/>
          <w:szCs w:val="24"/>
        </w:rPr>
        <w:t xml:space="preserve"> (Gibbs et al., 2017)</w:t>
      </w:r>
      <w:r w:rsidRPr="000304B9">
        <w:rPr>
          <w:rFonts w:ascii="Times New Roman" w:hAnsi="Times New Roman" w:cs="Times New Roman"/>
          <w:sz w:val="24"/>
          <w:szCs w:val="24"/>
        </w:rPr>
        <w:t xml:space="preserve">. Having more experience before the programs also boosts the confidence of the learners since </w:t>
      </w:r>
      <w:r w:rsidRPr="000304B9">
        <w:rPr>
          <w:rFonts w:ascii="Times New Roman" w:hAnsi="Times New Roman" w:cs="Times New Roman"/>
          <w:sz w:val="24"/>
          <w:szCs w:val="24"/>
        </w:rPr>
        <w:lastRenderedPageBreak/>
        <w:t>they have a wealth of information in particular fields. Discussions with fellow students who have had similar experiences in the area become comfortable</w:t>
      </w:r>
      <w:r w:rsidR="001436D9" w:rsidRPr="000304B9">
        <w:rPr>
          <w:rFonts w:ascii="Times New Roman" w:hAnsi="Times New Roman" w:cs="Times New Roman"/>
          <w:sz w:val="24"/>
          <w:szCs w:val="24"/>
        </w:rPr>
        <w:t xml:space="preserve"> and informed during the sharing (Motta et al., 2018).</w:t>
      </w:r>
    </w:p>
    <w:p w:rsidR="003A7CB3" w:rsidRPr="000304B9" w:rsidRDefault="003A7CB3" w:rsidP="000304B9">
      <w:pPr>
        <w:spacing w:line="480" w:lineRule="auto"/>
        <w:rPr>
          <w:rFonts w:ascii="Times New Roman" w:hAnsi="Times New Roman" w:cs="Times New Roman"/>
          <w:sz w:val="24"/>
          <w:szCs w:val="24"/>
        </w:rPr>
      </w:pPr>
    </w:p>
    <w:p w:rsidR="003A7CB3" w:rsidRPr="000304B9" w:rsidRDefault="003A7CB3"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Question 6: Connections of Literature Review and Trends</w:t>
      </w:r>
    </w:p>
    <w:p w:rsidR="003A7CB3" w:rsidRPr="000304B9" w:rsidRDefault="003A7CB3"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According to P. et al., (2014), the students with prior experience also have a better chance of qualifying for unique programs chances at the graduate schools and end up having a better-rounded and enjoyable experience even as they pursue the courses of their choice. Additionally, the expertise places the applicant in a better chance to qualify for future internships, fellowships, as well as jobs, paying well and such students always start well for their careers without much struggle. The employers are likely to give such students job positions with more responsibilities and also better compensation compared to the applicants who may lack the post-undergrad experiences.</w:t>
      </w:r>
    </w:p>
    <w:p w:rsidR="003A7CB3" w:rsidRPr="000304B9" w:rsidRDefault="003A7CB3" w:rsidP="000304B9">
      <w:pPr>
        <w:spacing w:line="480" w:lineRule="auto"/>
        <w:jc w:val="center"/>
        <w:rPr>
          <w:rFonts w:ascii="Times New Roman" w:hAnsi="Times New Roman" w:cs="Times New Roman"/>
          <w:b/>
          <w:sz w:val="24"/>
          <w:szCs w:val="24"/>
        </w:rPr>
      </w:pPr>
      <w:r w:rsidRPr="000304B9">
        <w:rPr>
          <w:rFonts w:ascii="Times New Roman" w:hAnsi="Times New Roman" w:cs="Times New Roman"/>
          <w:b/>
          <w:sz w:val="24"/>
          <w:szCs w:val="24"/>
        </w:rPr>
        <w:t>Question 7: Summary</w:t>
      </w:r>
    </w:p>
    <w:p w:rsidR="003A7CB3" w:rsidRPr="000304B9" w:rsidRDefault="003A7CB3" w:rsidP="000304B9">
      <w:pPr>
        <w:spacing w:line="480" w:lineRule="auto"/>
        <w:ind w:firstLine="720"/>
        <w:rPr>
          <w:rFonts w:ascii="Times New Roman" w:hAnsi="Times New Roman" w:cs="Times New Roman"/>
          <w:sz w:val="24"/>
          <w:szCs w:val="24"/>
        </w:rPr>
      </w:pPr>
      <w:r w:rsidRPr="000304B9">
        <w:rPr>
          <w:rFonts w:ascii="Times New Roman" w:hAnsi="Times New Roman" w:cs="Times New Roman"/>
          <w:sz w:val="24"/>
          <w:szCs w:val="24"/>
        </w:rPr>
        <w:t>Some people can also argue that it is also a fair alternative to join graduate school immediately after the undergraduate programs. Most people are motivated to move straight for their master’s degree programs for many reasons. Many programs offered in the graduate schools that admit students before experience and provide them with funding instead (Holzweiss et al., 2014). While that is also a good solution, there is also the reality of the job market today. Many professionals who have been in the job market for a long time can agree to the fact that work experience before graduate school is critical. Many students who have been beneficiaries of the prior experience have numerous advantages compared to those who miss the opportunity.</w:t>
      </w:r>
    </w:p>
    <w:p w:rsidR="003A7CB3" w:rsidRPr="000304B9" w:rsidRDefault="003A7CB3" w:rsidP="000304B9">
      <w:pPr>
        <w:spacing w:line="480" w:lineRule="auto"/>
        <w:rPr>
          <w:rFonts w:ascii="Times New Roman" w:hAnsi="Times New Roman" w:cs="Times New Roman"/>
          <w:sz w:val="24"/>
          <w:szCs w:val="24"/>
        </w:rPr>
      </w:pPr>
    </w:p>
    <w:p w:rsidR="00AB5FB6" w:rsidRPr="000304B9" w:rsidRDefault="00AB5FB6" w:rsidP="000304B9">
      <w:pPr>
        <w:spacing w:line="480" w:lineRule="auto"/>
        <w:jc w:val="center"/>
        <w:rPr>
          <w:rFonts w:ascii="Times New Roman" w:hAnsi="Times New Roman" w:cs="Times New Roman"/>
          <w:sz w:val="24"/>
          <w:szCs w:val="24"/>
        </w:rPr>
      </w:pPr>
      <w:r w:rsidRPr="000304B9">
        <w:rPr>
          <w:rFonts w:ascii="Times New Roman" w:hAnsi="Times New Roman" w:cs="Times New Roman"/>
          <w:b/>
          <w:sz w:val="24"/>
          <w:szCs w:val="24"/>
        </w:rPr>
        <w:t>References</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Ali, S. (2018). A Qualitative Study: How Northeastern Illinois University’s College of Education Program Successfully Prepares Black Males with a Previous Individualized Learning Plan to Become Teachers. </w:t>
      </w:r>
      <w:r w:rsidRPr="000304B9">
        <w:rPr>
          <w:rFonts w:ascii="Times New Roman" w:hAnsi="Times New Roman" w:cs="Times New Roman"/>
          <w:i/>
          <w:iCs/>
          <w:color w:val="222222"/>
          <w:sz w:val="24"/>
          <w:szCs w:val="24"/>
          <w:shd w:val="clear" w:color="auto" w:fill="FFFFFF"/>
        </w:rPr>
        <w:t>Journal of Research Initiatives</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3</w:t>
      </w:r>
      <w:r w:rsidRPr="000304B9">
        <w:rPr>
          <w:rFonts w:ascii="Times New Roman" w:hAnsi="Times New Roman" w:cs="Times New Roman"/>
          <w:color w:val="222222"/>
          <w:sz w:val="24"/>
          <w:szCs w:val="24"/>
          <w:shd w:val="clear" w:color="auto" w:fill="FFFFFF"/>
        </w:rPr>
        <w:t>(2), 7.</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Cassar, G. (2014). Industry and startup experience on entrepreneur forecast performance in new firms. </w:t>
      </w:r>
      <w:r w:rsidRPr="000304B9">
        <w:rPr>
          <w:rFonts w:ascii="Times New Roman" w:hAnsi="Times New Roman" w:cs="Times New Roman"/>
          <w:i/>
          <w:iCs/>
          <w:color w:val="222222"/>
          <w:sz w:val="24"/>
          <w:szCs w:val="24"/>
          <w:shd w:val="clear" w:color="auto" w:fill="FFFFFF"/>
        </w:rPr>
        <w:t>Journal of Business Venturing</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29</w:t>
      </w:r>
      <w:r w:rsidRPr="000304B9">
        <w:rPr>
          <w:rFonts w:ascii="Times New Roman" w:hAnsi="Times New Roman" w:cs="Times New Roman"/>
          <w:color w:val="222222"/>
          <w:sz w:val="24"/>
          <w:szCs w:val="24"/>
          <w:shd w:val="clear" w:color="auto" w:fill="FFFFFF"/>
        </w:rPr>
        <w:t>(1), 137-151.</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Chiang, J. K. H., &amp; Suen, H. Y. (2015). Self-presentation and hiring recommendations in online communities: Lessons from LinkedIn. </w:t>
      </w:r>
      <w:r w:rsidRPr="000304B9">
        <w:rPr>
          <w:rFonts w:ascii="Times New Roman" w:hAnsi="Times New Roman" w:cs="Times New Roman"/>
          <w:i/>
          <w:iCs/>
          <w:color w:val="222222"/>
          <w:sz w:val="24"/>
          <w:szCs w:val="24"/>
          <w:shd w:val="clear" w:color="auto" w:fill="FFFFFF"/>
        </w:rPr>
        <w:t>Computers in Human Behavior</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48</w:t>
      </w:r>
      <w:r w:rsidRPr="000304B9">
        <w:rPr>
          <w:rFonts w:ascii="Times New Roman" w:hAnsi="Times New Roman" w:cs="Times New Roman"/>
          <w:color w:val="222222"/>
          <w:sz w:val="24"/>
          <w:szCs w:val="24"/>
          <w:shd w:val="clear" w:color="auto" w:fill="FFFFFF"/>
        </w:rPr>
        <w:t>, 516-524.</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Coates, H., &amp; McCormick, A. C. (Eds.). (2014). </w:t>
      </w:r>
      <w:r w:rsidRPr="000304B9">
        <w:rPr>
          <w:rFonts w:ascii="Times New Roman" w:hAnsi="Times New Roman" w:cs="Times New Roman"/>
          <w:i/>
          <w:iCs/>
          <w:color w:val="222222"/>
          <w:sz w:val="24"/>
          <w:szCs w:val="24"/>
          <w:shd w:val="clear" w:color="auto" w:fill="FFFFFF"/>
        </w:rPr>
        <w:t>Engaging university students: International insights from system-wide studies</w:t>
      </w:r>
      <w:r w:rsidRPr="000304B9">
        <w:rPr>
          <w:rFonts w:ascii="Times New Roman" w:hAnsi="Times New Roman" w:cs="Times New Roman"/>
          <w:color w:val="222222"/>
          <w:sz w:val="24"/>
          <w:szCs w:val="24"/>
          <w:shd w:val="clear" w:color="auto" w:fill="FFFFFF"/>
        </w:rPr>
        <w:t>. Springer.</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Gibbs, S., Moore, K., Steel, G., &amp; McKinnon, A. (2017). The Dunning-Kruger Effect in a workplace computing setting. </w:t>
      </w:r>
      <w:r w:rsidRPr="000304B9">
        <w:rPr>
          <w:rFonts w:ascii="Times New Roman" w:hAnsi="Times New Roman" w:cs="Times New Roman"/>
          <w:i/>
          <w:iCs/>
          <w:color w:val="222222"/>
          <w:sz w:val="24"/>
          <w:szCs w:val="24"/>
          <w:shd w:val="clear" w:color="auto" w:fill="FFFFFF"/>
        </w:rPr>
        <w:t>Computers in Human Behavior</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72</w:t>
      </w:r>
      <w:r w:rsidRPr="000304B9">
        <w:rPr>
          <w:rFonts w:ascii="Times New Roman" w:hAnsi="Times New Roman" w:cs="Times New Roman"/>
          <w:color w:val="222222"/>
          <w:sz w:val="24"/>
          <w:szCs w:val="24"/>
          <w:shd w:val="clear" w:color="auto" w:fill="FFFFFF"/>
        </w:rPr>
        <w:t>, 589-595.</w:t>
      </w:r>
    </w:p>
    <w:p w:rsidR="000304B9" w:rsidRPr="000304B9" w:rsidRDefault="000304B9" w:rsidP="000304B9">
      <w:pPr>
        <w:spacing w:line="480" w:lineRule="auto"/>
        <w:ind w:left="720" w:hanging="720"/>
        <w:rPr>
          <w:rFonts w:ascii="Times New Roman" w:hAnsi="Times New Roman" w:cs="Times New Roman"/>
          <w:sz w:val="24"/>
          <w:szCs w:val="24"/>
        </w:rPr>
      </w:pPr>
      <w:r w:rsidRPr="000304B9">
        <w:rPr>
          <w:rFonts w:ascii="Times New Roman" w:hAnsi="Times New Roman" w:cs="Times New Roman"/>
          <w:color w:val="222222"/>
          <w:sz w:val="24"/>
          <w:szCs w:val="24"/>
          <w:shd w:val="clear" w:color="auto" w:fill="FFFFFF"/>
        </w:rPr>
        <w:t>Holzweiss, P. C., Joyner, S. A., Fuller, M. B., Henderson, S., &amp; Young, R. (2014). Online graduate students’ perceptions of best learning experiences. </w:t>
      </w:r>
      <w:r w:rsidRPr="000304B9">
        <w:rPr>
          <w:rFonts w:ascii="Times New Roman" w:hAnsi="Times New Roman" w:cs="Times New Roman"/>
          <w:i/>
          <w:iCs/>
          <w:color w:val="222222"/>
          <w:sz w:val="24"/>
          <w:szCs w:val="24"/>
          <w:shd w:val="clear" w:color="auto" w:fill="FFFFFF"/>
        </w:rPr>
        <w:t>Distance Education</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35</w:t>
      </w:r>
      <w:r w:rsidRPr="000304B9">
        <w:rPr>
          <w:rFonts w:ascii="Times New Roman" w:hAnsi="Times New Roman" w:cs="Times New Roman"/>
          <w:color w:val="222222"/>
          <w:sz w:val="24"/>
          <w:szCs w:val="24"/>
          <w:shd w:val="clear" w:color="auto" w:fill="FFFFFF"/>
        </w:rPr>
        <w:t>(3), 311-323.</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Motta, M., Callaghan, T., &amp; Sylvester, S. (2018). Knowing less but presuming more: Dunning-Kruger effects and the endorsement of anti-vaccine policy attitudes. </w:t>
      </w:r>
      <w:r w:rsidRPr="000304B9">
        <w:rPr>
          <w:rFonts w:ascii="Times New Roman" w:hAnsi="Times New Roman" w:cs="Times New Roman"/>
          <w:i/>
          <w:iCs/>
          <w:color w:val="222222"/>
          <w:sz w:val="24"/>
          <w:szCs w:val="24"/>
          <w:shd w:val="clear" w:color="auto" w:fill="FFFFFF"/>
        </w:rPr>
        <w:t>Social Science &amp; Medicine</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211</w:t>
      </w:r>
      <w:r w:rsidRPr="000304B9">
        <w:rPr>
          <w:rFonts w:ascii="Times New Roman" w:hAnsi="Times New Roman" w:cs="Times New Roman"/>
          <w:color w:val="222222"/>
          <w:sz w:val="24"/>
          <w:szCs w:val="24"/>
          <w:shd w:val="clear" w:color="auto" w:fill="FFFFFF"/>
        </w:rPr>
        <w:t>, 274-281.</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lastRenderedPageBreak/>
        <w:t>Noe, R. A., Hollenbeck, J. R., Gerhart, B., &amp; Wright, P. M. (2017). </w:t>
      </w:r>
      <w:r w:rsidRPr="000304B9">
        <w:rPr>
          <w:rFonts w:ascii="Times New Roman" w:hAnsi="Times New Roman" w:cs="Times New Roman"/>
          <w:i/>
          <w:iCs/>
          <w:color w:val="222222"/>
          <w:sz w:val="24"/>
          <w:szCs w:val="24"/>
          <w:shd w:val="clear" w:color="auto" w:fill="FFFFFF"/>
        </w:rPr>
        <w:t>Human resource management: Gaining a competitive advantage</w:t>
      </w:r>
      <w:r w:rsidRPr="000304B9">
        <w:rPr>
          <w:rFonts w:ascii="Times New Roman" w:hAnsi="Times New Roman" w:cs="Times New Roman"/>
          <w:color w:val="222222"/>
          <w:sz w:val="24"/>
          <w:szCs w:val="24"/>
          <w:shd w:val="clear" w:color="auto" w:fill="FFFFFF"/>
        </w:rPr>
        <w:t>. New York, NY: McGraw-Hill Education.</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P. Maertz Jr, C., A. Stoeberl, P., &amp; Marks, J. (2014). Building successful internships: lessons from the research for interns, schools, and employers. </w:t>
      </w:r>
      <w:r w:rsidRPr="000304B9">
        <w:rPr>
          <w:rFonts w:ascii="Times New Roman" w:hAnsi="Times New Roman" w:cs="Times New Roman"/>
          <w:i/>
          <w:iCs/>
          <w:color w:val="222222"/>
          <w:sz w:val="24"/>
          <w:szCs w:val="24"/>
          <w:shd w:val="clear" w:color="auto" w:fill="FFFFFF"/>
        </w:rPr>
        <w:t>Career Development International</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19</w:t>
      </w:r>
      <w:r w:rsidRPr="000304B9">
        <w:rPr>
          <w:rFonts w:ascii="Times New Roman" w:hAnsi="Times New Roman" w:cs="Times New Roman"/>
          <w:color w:val="222222"/>
          <w:sz w:val="24"/>
          <w:szCs w:val="24"/>
          <w:shd w:val="clear" w:color="auto" w:fill="FFFFFF"/>
        </w:rPr>
        <w:t>(1), 123-142.</w:t>
      </w:r>
    </w:p>
    <w:p w:rsidR="000304B9" w:rsidRPr="000304B9" w:rsidRDefault="000304B9" w:rsidP="000304B9">
      <w:pPr>
        <w:spacing w:line="480" w:lineRule="auto"/>
        <w:ind w:left="720" w:hanging="720"/>
        <w:rPr>
          <w:rFonts w:ascii="Times New Roman" w:hAnsi="Times New Roman" w:cs="Times New Roman"/>
          <w:color w:val="222222"/>
          <w:sz w:val="24"/>
          <w:szCs w:val="24"/>
          <w:shd w:val="clear" w:color="auto" w:fill="FFFFFF"/>
        </w:rPr>
      </w:pPr>
      <w:r w:rsidRPr="000304B9">
        <w:rPr>
          <w:rFonts w:ascii="Times New Roman" w:hAnsi="Times New Roman" w:cs="Times New Roman"/>
          <w:color w:val="222222"/>
          <w:sz w:val="24"/>
          <w:szCs w:val="24"/>
          <w:shd w:val="clear" w:color="auto" w:fill="FFFFFF"/>
        </w:rPr>
        <w:t>Pennycook, G., Ross, R. M., Koehler, D. J., &amp; Fugelsang, J. A. (2017). Dunning–Kruger effects in reasoning: Theoretical implications of the failure to recognize incompetence. </w:t>
      </w:r>
      <w:r w:rsidRPr="000304B9">
        <w:rPr>
          <w:rFonts w:ascii="Times New Roman" w:hAnsi="Times New Roman" w:cs="Times New Roman"/>
          <w:i/>
          <w:iCs/>
          <w:color w:val="222222"/>
          <w:sz w:val="24"/>
          <w:szCs w:val="24"/>
          <w:shd w:val="clear" w:color="auto" w:fill="FFFFFF"/>
        </w:rPr>
        <w:t>Psychonomic bulletin &amp; review</w:t>
      </w:r>
      <w:r w:rsidRPr="000304B9">
        <w:rPr>
          <w:rFonts w:ascii="Times New Roman" w:hAnsi="Times New Roman" w:cs="Times New Roman"/>
          <w:color w:val="222222"/>
          <w:sz w:val="24"/>
          <w:szCs w:val="24"/>
          <w:shd w:val="clear" w:color="auto" w:fill="FFFFFF"/>
        </w:rPr>
        <w:t>, </w:t>
      </w:r>
      <w:r w:rsidRPr="000304B9">
        <w:rPr>
          <w:rFonts w:ascii="Times New Roman" w:hAnsi="Times New Roman" w:cs="Times New Roman"/>
          <w:i/>
          <w:iCs/>
          <w:color w:val="222222"/>
          <w:sz w:val="24"/>
          <w:szCs w:val="24"/>
          <w:shd w:val="clear" w:color="auto" w:fill="FFFFFF"/>
        </w:rPr>
        <w:t>24</w:t>
      </w:r>
      <w:r w:rsidRPr="000304B9">
        <w:rPr>
          <w:rFonts w:ascii="Times New Roman" w:hAnsi="Times New Roman" w:cs="Times New Roman"/>
          <w:color w:val="222222"/>
          <w:sz w:val="24"/>
          <w:szCs w:val="24"/>
          <w:shd w:val="clear" w:color="auto" w:fill="FFFFFF"/>
        </w:rPr>
        <w:t>(6), 1774-1784.</w:t>
      </w:r>
    </w:p>
    <w:p w:rsidR="00AB5FB6" w:rsidRPr="000304B9" w:rsidRDefault="00AB5FB6" w:rsidP="000304B9">
      <w:pPr>
        <w:spacing w:line="480" w:lineRule="auto"/>
        <w:rPr>
          <w:rFonts w:ascii="Times New Roman" w:hAnsi="Times New Roman" w:cs="Times New Roman"/>
          <w:sz w:val="24"/>
          <w:szCs w:val="24"/>
        </w:rPr>
      </w:pPr>
    </w:p>
    <w:p w:rsidR="00AB5FB6" w:rsidRPr="000304B9" w:rsidRDefault="00AB5FB6" w:rsidP="000304B9">
      <w:pPr>
        <w:spacing w:line="480" w:lineRule="auto"/>
        <w:ind w:firstLine="720"/>
        <w:rPr>
          <w:rFonts w:ascii="Times New Roman" w:hAnsi="Times New Roman" w:cs="Times New Roman"/>
          <w:sz w:val="24"/>
          <w:szCs w:val="24"/>
        </w:rPr>
      </w:pPr>
    </w:p>
    <w:p w:rsidR="0037690A" w:rsidRPr="000304B9" w:rsidRDefault="0037690A" w:rsidP="000304B9">
      <w:pPr>
        <w:spacing w:line="480" w:lineRule="auto"/>
        <w:rPr>
          <w:rFonts w:ascii="Times New Roman" w:hAnsi="Times New Roman" w:cs="Times New Roman"/>
          <w:sz w:val="24"/>
          <w:szCs w:val="24"/>
        </w:rPr>
      </w:pPr>
    </w:p>
    <w:sectPr w:rsidR="0037690A" w:rsidRPr="000304B9"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E36" w:rsidRDefault="00F06E36" w:rsidP="00AB5FB6">
      <w:pPr>
        <w:spacing w:after="0" w:line="240" w:lineRule="auto"/>
      </w:pPr>
      <w:r>
        <w:separator/>
      </w:r>
    </w:p>
  </w:endnote>
  <w:endnote w:type="continuationSeparator" w:id="0">
    <w:p w:rsidR="00F06E36" w:rsidRDefault="00F06E36" w:rsidP="00AB5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E36" w:rsidRDefault="00F06E36" w:rsidP="00AB5FB6">
      <w:pPr>
        <w:spacing w:after="0" w:line="240" w:lineRule="auto"/>
      </w:pPr>
      <w:r>
        <w:separator/>
      </w:r>
    </w:p>
  </w:footnote>
  <w:footnote w:type="continuationSeparator" w:id="0">
    <w:p w:rsidR="00F06E36" w:rsidRDefault="00F06E36" w:rsidP="00AB5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AB5FB6">
    <w:pPr>
      <w:pStyle w:val="Header"/>
      <w:jc w:val="right"/>
    </w:pPr>
    <w:r w:rsidRPr="00AB5FB6">
      <w:rPr>
        <w:rFonts w:ascii="Times New Roman" w:hAnsi="Times New Roman" w:cs="Times New Roman"/>
        <w:sz w:val="24"/>
        <w:szCs w:val="24"/>
      </w:rPr>
      <w:t>WORK EXPERIENCE</w:t>
    </w:r>
    <w:r w:rsidR="00152218">
      <w:t xml:space="preserve"> </w:t>
    </w:r>
    <w:r w:rsidR="00152218">
      <w:tab/>
    </w:r>
    <w:r w:rsidR="00152218">
      <w:tab/>
    </w:r>
    <w:r w:rsidR="00152218" w:rsidRPr="007F05A5">
      <w:rPr>
        <w:rFonts w:ascii="Times New Roman" w:hAnsi="Times New Roman" w:cs="Times New Roman"/>
        <w:sz w:val="24"/>
        <w:szCs w:val="24"/>
      </w:rPr>
      <w:fldChar w:fldCharType="begin"/>
    </w:r>
    <w:r w:rsidR="00152218" w:rsidRPr="007F05A5">
      <w:rPr>
        <w:rFonts w:ascii="Times New Roman" w:hAnsi="Times New Roman" w:cs="Times New Roman"/>
        <w:sz w:val="24"/>
        <w:szCs w:val="24"/>
      </w:rPr>
      <w:instrText xml:space="preserve"> PAGE   \* MERGEFORMAT </w:instrText>
    </w:r>
    <w:r w:rsidR="00152218" w:rsidRPr="007F05A5">
      <w:rPr>
        <w:rFonts w:ascii="Times New Roman" w:hAnsi="Times New Roman" w:cs="Times New Roman"/>
        <w:sz w:val="24"/>
        <w:szCs w:val="24"/>
      </w:rPr>
      <w:fldChar w:fldCharType="separate"/>
    </w:r>
    <w:r w:rsidR="006657FE">
      <w:rPr>
        <w:rFonts w:ascii="Times New Roman" w:hAnsi="Times New Roman" w:cs="Times New Roman"/>
        <w:noProof/>
        <w:sz w:val="24"/>
        <w:szCs w:val="24"/>
      </w:rPr>
      <w:t>6</w:t>
    </w:r>
    <w:r w:rsidR="00152218" w:rsidRPr="007F05A5">
      <w:rPr>
        <w:rFonts w:ascii="Times New Roman" w:hAnsi="Times New Roman" w:cs="Times New Roman"/>
        <w:noProof/>
        <w:sz w:val="24"/>
        <w:szCs w:val="24"/>
      </w:rPr>
      <w:fldChar w:fldCharType="end"/>
    </w:r>
  </w:p>
  <w:p w:rsidR="007F05A5" w:rsidRDefault="00F06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152218">
    <w:pPr>
      <w:pStyle w:val="Header"/>
      <w:jc w:val="right"/>
    </w:pPr>
    <w:r>
      <w:rPr>
        <w:rFonts w:ascii="Times New Roman" w:hAnsi="Times New Roman" w:cs="Times New Roman"/>
        <w:sz w:val="24"/>
        <w:szCs w:val="24"/>
      </w:rPr>
      <w:t xml:space="preserve">Running head: </w:t>
    </w:r>
    <w:r w:rsidR="00AB5FB6" w:rsidRPr="00AB5FB6">
      <w:rPr>
        <w:rFonts w:ascii="Times New Roman" w:hAnsi="Times New Roman" w:cs="Times New Roman"/>
        <w:sz w:val="24"/>
        <w:szCs w:val="24"/>
      </w:rPr>
      <w:t>WORK EXPERIENCE</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6657FE">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F06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FB6"/>
    <w:rsid w:val="000304B9"/>
    <w:rsid w:val="000B7D95"/>
    <w:rsid w:val="001436D9"/>
    <w:rsid w:val="00152218"/>
    <w:rsid w:val="0037690A"/>
    <w:rsid w:val="003A7CB3"/>
    <w:rsid w:val="0046205E"/>
    <w:rsid w:val="005A0C65"/>
    <w:rsid w:val="006657FE"/>
    <w:rsid w:val="008450D7"/>
    <w:rsid w:val="00AB5FB6"/>
    <w:rsid w:val="00DE39B1"/>
    <w:rsid w:val="00F06E36"/>
    <w:rsid w:val="00F32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EBB99-7679-40D6-ABD9-8A87802D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FB6"/>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AB5FB6"/>
    <w:rPr>
      <w:rFonts w:ascii="Calibri" w:eastAsia="Calibri" w:hAnsi="Calibri" w:cs="Arial"/>
    </w:rPr>
  </w:style>
  <w:style w:type="paragraph" w:styleId="Footer">
    <w:name w:val="footer"/>
    <w:basedOn w:val="Normal"/>
    <w:link w:val="FooterChar"/>
    <w:uiPriority w:val="99"/>
    <w:unhideWhenUsed/>
    <w:rsid w:val="00AB5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2019-03-27T21:39:00Z</dcterms:created>
  <dcterms:modified xsi:type="dcterms:W3CDTF">2019-03-27T21:39:00Z</dcterms:modified>
</cp:coreProperties>
</file>